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0D0" w:rsidRPr="00FF20D0" w:rsidRDefault="00FF20D0" w:rsidP="00854857">
      <w:pPr>
        <w:pStyle w:val="a5"/>
        <w:jc w:val="right"/>
        <w:rPr>
          <w:shd w:val="clear" w:color="auto" w:fill="FFFFFF"/>
        </w:rPr>
      </w:pPr>
      <w:r w:rsidRPr="00FF20D0">
        <w:rPr>
          <w:shd w:val="clear" w:color="auto" w:fill="FFFFFF"/>
        </w:rPr>
        <w:t>Національна комісія з цінних паперів та фондового ринку</w:t>
      </w:r>
    </w:p>
    <w:p w:rsidR="00A14A40" w:rsidRDefault="00FF20D0" w:rsidP="00854857">
      <w:pPr>
        <w:pStyle w:val="a5"/>
        <w:jc w:val="right"/>
        <w:rPr>
          <w:shd w:val="clear" w:color="auto" w:fill="FFFFFF"/>
        </w:rPr>
      </w:pPr>
      <w:r w:rsidRPr="00FF20D0">
        <w:rPr>
          <w:shd w:val="clear" w:color="auto" w:fill="FFFFFF"/>
        </w:rPr>
        <w:t xml:space="preserve">01010, м. Київ, вул. Московська 8, </w:t>
      </w:r>
      <w:proofErr w:type="spellStart"/>
      <w:r w:rsidRPr="00FF20D0">
        <w:rPr>
          <w:shd w:val="clear" w:color="auto" w:fill="FFFFFF"/>
        </w:rPr>
        <w:t>корп</w:t>
      </w:r>
      <w:proofErr w:type="spellEnd"/>
      <w:r w:rsidRPr="00FF20D0">
        <w:rPr>
          <w:shd w:val="clear" w:color="auto" w:fill="FFFFFF"/>
        </w:rPr>
        <w:t>. 30</w:t>
      </w:r>
    </w:p>
    <w:p w:rsidR="00FF20D0" w:rsidRDefault="00FF20D0" w:rsidP="00854857">
      <w:pPr>
        <w:pStyle w:val="a5"/>
        <w:jc w:val="right"/>
        <w:rPr>
          <w:shd w:val="clear" w:color="auto" w:fill="FFFFFF"/>
        </w:rPr>
      </w:pPr>
    </w:p>
    <w:p w:rsidR="00FF20D0" w:rsidRDefault="00FF20D0" w:rsidP="00854857">
      <w:pPr>
        <w:pStyle w:val="a5"/>
        <w:jc w:val="right"/>
        <w:rPr>
          <w:shd w:val="clear" w:color="auto" w:fill="FFFFFF"/>
        </w:rPr>
      </w:pPr>
      <w:r>
        <w:rPr>
          <w:shd w:val="clear" w:color="auto" w:fill="FFFFFF"/>
        </w:rPr>
        <w:t>ПрАТ «</w:t>
      </w:r>
      <w:proofErr w:type="spellStart"/>
      <w:r>
        <w:rPr>
          <w:shd w:val="clear" w:color="auto" w:fill="FFFFFF"/>
        </w:rPr>
        <w:t>Юженергобуд</w:t>
      </w:r>
      <w:proofErr w:type="spellEnd"/>
      <w:r>
        <w:rPr>
          <w:shd w:val="clear" w:color="auto" w:fill="FFFFFF"/>
        </w:rPr>
        <w:t xml:space="preserve">» а\с 62  </w:t>
      </w:r>
      <w:proofErr w:type="spellStart"/>
      <w:r>
        <w:rPr>
          <w:shd w:val="clear" w:color="auto" w:fill="FFFFFF"/>
        </w:rPr>
        <w:t>Промзона</w:t>
      </w:r>
      <w:proofErr w:type="spellEnd"/>
      <w:r>
        <w:rPr>
          <w:shd w:val="clear" w:color="auto" w:fill="FFFFFF"/>
        </w:rPr>
        <w:t>,</w:t>
      </w:r>
    </w:p>
    <w:p w:rsidR="00FF20D0" w:rsidRDefault="00FF20D0" w:rsidP="00854857">
      <w:pPr>
        <w:pStyle w:val="a5"/>
        <w:jc w:val="right"/>
        <w:rPr>
          <w:shd w:val="clear" w:color="auto" w:fill="FFFFFF"/>
        </w:rPr>
      </w:pPr>
      <w:r>
        <w:rPr>
          <w:shd w:val="clear" w:color="auto" w:fill="FFFFFF"/>
        </w:rPr>
        <w:t xml:space="preserve"> м. Южноукраїнськ, Миколаївська область, 55001</w:t>
      </w:r>
    </w:p>
    <w:p w:rsidR="00FF20D0" w:rsidRDefault="00FF20D0" w:rsidP="00854857">
      <w:pPr>
        <w:pStyle w:val="a5"/>
        <w:jc w:val="right"/>
        <w:rPr>
          <w:shd w:val="clear" w:color="auto" w:fill="FFFFFF"/>
        </w:rPr>
      </w:pPr>
    </w:p>
    <w:p w:rsidR="00854857" w:rsidRDefault="00854857" w:rsidP="00854857">
      <w:pPr>
        <w:pStyle w:val="a5"/>
        <w:jc w:val="right"/>
        <w:rPr>
          <w:shd w:val="clear" w:color="auto" w:fill="FFFFFF"/>
        </w:rPr>
      </w:pPr>
    </w:p>
    <w:p w:rsidR="00854857" w:rsidRDefault="00854857" w:rsidP="00854857">
      <w:pPr>
        <w:pStyle w:val="a5"/>
        <w:jc w:val="right"/>
        <w:rPr>
          <w:shd w:val="clear" w:color="auto" w:fill="FFFFFF"/>
        </w:rPr>
      </w:pPr>
    </w:p>
    <w:p w:rsidR="00854857" w:rsidRPr="00854857" w:rsidRDefault="00854857" w:rsidP="00854857">
      <w:pPr>
        <w:pStyle w:val="a5"/>
        <w:jc w:val="center"/>
        <w:rPr>
          <w:b/>
          <w:shd w:val="clear" w:color="auto" w:fill="FFFFFF"/>
        </w:rPr>
      </w:pPr>
      <w:bookmarkStart w:id="0" w:name="_GoBack"/>
      <w:r w:rsidRPr="00854857">
        <w:rPr>
          <w:b/>
          <w:shd w:val="clear" w:color="auto" w:fill="FFFFFF"/>
        </w:rPr>
        <w:t>П</w:t>
      </w:r>
      <w:r w:rsidR="00FF20D0" w:rsidRPr="00854857">
        <w:rPr>
          <w:b/>
          <w:shd w:val="clear" w:color="auto" w:fill="FFFFFF"/>
        </w:rPr>
        <w:t>овідомлення</w:t>
      </w:r>
    </w:p>
    <w:p w:rsidR="00FF20D0" w:rsidRDefault="00FF20D0" w:rsidP="00854857">
      <w:pPr>
        <w:pStyle w:val="a5"/>
        <w:jc w:val="center"/>
        <w:rPr>
          <w:b/>
          <w:shd w:val="clear" w:color="auto" w:fill="FFFFFF"/>
        </w:rPr>
      </w:pPr>
      <w:r w:rsidRPr="00854857">
        <w:rPr>
          <w:b/>
          <w:shd w:val="clear" w:color="auto" w:fill="FFFFFF"/>
        </w:rPr>
        <w:t>про набуття права власності</w:t>
      </w:r>
      <w:r w:rsidR="00854857" w:rsidRPr="00854857">
        <w:rPr>
          <w:b/>
          <w:shd w:val="clear" w:color="auto" w:fill="FFFFFF"/>
        </w:rPr>
        <w:t xml:space="preserve"> </w:t>
      </w:r>
      <w:r w:rsidRPr="00854857">
        <w:rPr>
          <w:b/>
          <w:shd w:val="clear" w:color="auto" w:fill="FFFFFF"/>
        </w:rPr>
        <w:t>на домінуючий контрольний пакет акцій (далі - повідомлення).</w:t>
      </w:r>
    </w:p>
    <w:p w:rsidR="00854857" w:rsidRDefault="00854857" w:rsidP="00854857">
      <w:pPr>
        <w:pStyle w:val="a5"/>
        <w:jc w:val="center"/>
        <w:rPr>
          <w:b/>
          <w:shd w:val="clear" w:color="auto" w:fill="FFFFFF"/>
        </w:rPr>
      </w:pPr>
    </w:p>
    <w:bookmarkEnd w:id="0"/>
    <w:p w:rsidR="00854857" w:rsidRPr="00854857" w:rsidRDefault="00854857" w:rsidP="00854857">
      <w:pPr>
        <w:pStyle w:val="a5"/>
        <w:jc w:val="center"/>
        <w:rPr>
          <w:b/>
          <w:shd w:val="clear" w:color="auto" w:fill="FFFFFF"/>
        </w:rPr>
      </w:pPr>
    </w:p>
    <w:p w:rsidR="00FF20D0" w:rsidRDefault="00FF20D0" w:rsidP="00854857">
      <w:pPr>
        <w:pStyle w:val="a4"/>
        <w:numPr>
          <w:ilvl w:val="0"/>
          <w:numId w:val="1"/>
        </w:numPr>
        <w:rPr>
          <w:color w:val="000000"/>
          <w:shd w:val="clear" w:color="auto" w:fill="FFFFFF"/>
        </w:rPr>
      </w:pPr>
      <w:r w:rsidRPr="00FF20D0">
        <w:rPr>
          <w:color w:val="000000"/>
          <w:shd w:val="clear" w:color="auto" w:fill="FFFFFF"/>
        </w:rPr>
        <w:t>кількість акцій товариства, що належали особі та її афілійованим особам до набуття домінуючого контрольного пакета акцій товариства</w:t>
      </w:r>
      <w:r>
        <w:rPr>
          <w:color w:val="000000"/>
          <w:shd w:val="clear" w:color="auto" w:fill="FFFFFF"/>
        </w:rPr>
        <w:t xml:space="preserve"> –  </w:t>
      </w:r>
      <w:r w:rsidRPr="00854857">
        <w:rPr>
          <w:b/>
          <w:color w:val="000000"/>
          <w:shd w:val="clear" w:color="auto" w:fill="FFFFFF"/>
        </w:rPr>
        <w:t>4337192 шт. (83,1119%);</w:t>
      </w:r>
    </w:p>
    <w:p w:rsidR="00DA7CA0" w:rsidRPr="00FF20D0" w:rsidRDefault="0036000D" w:rsidP="00854857">
      <w:pPr>
        <w:pStyle w:val="a4"/>
        <w:numPr>
          <w:ilvl w:val="0"/>
          <w:numId w:val="1"/>
        </w:numPr>
        <w:rPr>
          <w:color w:val="000000"/>
          <w:shd w:val="clear" w:color="auto" w:fill="FFFFFF"/>
        </w:rPr>
      </w:pPr>
      <w:r w:rsidRPr="00FF20D0">
        <w:rPr>
          <w:color w:val="000000"/>
          <w:shd w:val="clear" w:color="auto" w:fill="FFFFFF"/>
        </w:rPr>
        <w:t>Структура власності</w:t>
      </w:r>
      <w:r w:rsidR="00FF20D0">
        <w:rPr>
          <w:color w:val="000000"/>
          <w:shd w:val="clear" w:color="auto" w:fill="FFFFFF"/>
        </w:rPr>
        <w:t xml:space="preserve"> </w:t>
      </w:r>
      <w:r w:rsidRPr="00FF20D0">
        <w:rPr>
          <w:color w:val="000000"/>
          <w:shd w:val="clear" w:color="auto" w:fill="FFFFFF"/>
        </w:rPr>
        <w:t xml:space="preserve">особи, що набула право власності на домінуючий контрольний пакет акцій акціонерного товариства, та її афілійованих осіб (якщо станом на дату повідомлення афілійованим особам належали акції товариства) станом на </w:t>
      </w:r>
      <w:r w:rsidR="00A14A40" w:rsidRPr="00FF20D0">
        <w:rPr>
          <w:color w:val="000000"/>
          <w:shd w:val="clear" w:color="auto" w:fill="FFFFFF"/>
        </w:rPr>
        <w:t xml:space="preserve">11 травня </w:t>
      </w:r>
      <w:r w:rsidRPr="00FF20D0">
        <w:rPr>
          <w:color w:val="000000"/>
          <w:shd w:val="clear" w:color="auto" w:fill="FFFFFF"/>
        </w:rPr>
        <w:t>20</w:t>
      </w:r>
      <w:r w:rsidR="00A14A40" w:rsidRPr="00FF20D0">
        <w:rPr>
          <w:color w:val="000000"/>
          <w:shd w:val="clear" w:color="auto" w:fill="FFFFFF"/>
        </w:rPr>
        <w:t>19</w:t>
      </w:r>
      <w:r w:rsidRPr="00FF20D0">
        <w:rPr>
          <w:color w:val="000000"/>
          <w:shd w:val="clear" w:color="auto" w:fill="FFFFFF"/>
        </w:rPr>
        <w:t xml:space="preserve"> року</w:t>
      </w:r>
    </w:p>
    <w:tbl>
      <w:tblPr>
        <w:tblStyle w:val="a3"/>
        <w:tblW w:w="9575" w:type="dxa"/>
        <w:tblLayout w:type="fixed"/>
        <w:tblLook w:val="04A0" w:firstRow="1" w:lastRow="0" w:firstColumn="1" w:lastColumn="0" w:noHBand="0" w:noVBand="1"/>
      </w:tblPr>
      <w:tblGrid>
        <w:gridCol w:w="392"/>
        <w:gridCol w:w="1406"/>
        <w:gridCol w:w="679"/>
        <w:gridCol w:w="892"/>
        <w:gridCol w:w="992"/>
        <w:gridCol w:w="992"/>
        <w:gridCol w:w="709"/>
        <w:gridCol w:w="2268"/>
        <w:gridCol w:w="1245"/>
      </w:tblGrid>
      <w:tr w:rsidR="00A14A40" w:rsidRPr="00A14A40" w:rsidTr="00854857">
        <w:trPr>
          <w:trHeight w:val="1252"/>
        </w:trPr>
        <w:tc>
          <w:tcPr>
            <w:tcW w:w="392" w:type="dxa"/>
            <w:vMerge w:val="restart"/>
          </w:tcPr>
          <w:p w:rsidR="00A14A40" w:rsidRPr="00A14A40" w:rsidRDefault="00A14A40">
            <w:pPr>
              <w:rPr>
                <w:sz w:val="18"/>
                <w:szCs w:val="18"/>
              </w:rPr>
            </w:pPr>
            <w:r w:rsidRPr="00A14A40">
              <w:rPr>
                <w:color w:val="000000"/>
                <w:sz w:val="18"/>
                <w:szCs w:val="18"/>
                <w:shd w:val="clear" w:color="auto" w:fill="FFFFFF"/>
              </w:rPr>
              <w:t>№ з/п</w:t>
            </w:r>
          </w:p>
        </w:tc>
        <w:tc>
          <w:tcPr>
            <w:tcW w:w="1406" w:type="dxa"/>
            <w:vMerge w:val="restart"/>
          </w:tcPr>
          <w:p w:rsidR="00A14A40" w:rsidRPr="00A14A40" w:rsidRDefault="00A14A40">
            <w:pPr>
              <w:rPr>
                <w:sz w:val="18"/>
                <w:szCs w:val="18"/>
              </w:rPr>
            </w:pPr>
            <w:r w:rsidRPr="00A14A40">
              <w:rPr>
                <w:color w:val="000000"/>
                <w:sz w:val="18"/>
                <w:szCs w:val="18"/>
                <w:shd w:val="clear" w:color="auto" w:fill="FFFFFF"/>
              </w:rPr>
              <w:t>Прізвище, ім’я та по батькові фізичної особи або повне найменування юридичної особи</w:t>
            </w:r>
          </w:p>
        </w:tc>
        <w:tc>
          <w:tcPr>
            <w:tcW w:w="679" w:type="dxa"/>
            <w:vMerge w:val="restart"/>
          </w:tcPr>
          <w:p w:rsidR="00A14A40" w:rsidRPr="00A14A40" w:rsidRDefault="00A14A40">
            <w:pPr>
              <w:rPr>
                <w:sz w:val="18"/>
                <w:szCs w:val="18"/>
              </w:rPr>
            </w:pPr>
            <w:r w:rsidRPr="00A14A40">
              <w:rPr>
                <w:color w:val="000000"/>
                <w:sz w:val="18"/>
                <w:szCs w:val="18"/>
                <w:shd w:val="clear" w:color="auto" w:fill="FFFFFF"/>
              </w:rPr>
              <w:t>Тип особи</w:t>
            </w:r>
          </w:p>
        </w:tc>
        <w:tc>
          <w:tcPr>
            <w:tcW w:w="892" w:type="dxa"/>
            <w:vMerge w:val="restart"/>
          </w:tcPr>
          <w:p w:rsidR="00A14A40" w:rsidRPr="00A14A40" w:rsidRDefault="00A14A40">
            <w:pPr>
              <w:rPr>
                <w:sz w:val="18"/>
                <w:szCs w:val="18"/>
              </w:rPr>
            </w:pPr>
            <w:r w:rsidRPr="00A14A40">
              <w:rPr>
                <w:color w:val="000000"/>
                <w:sz w:val="18"/>
                <w:szCs w:val="18"/>
                <w:shd w:val="clear" w:color="auto" w:fill="FFFFFF"/>
              </w:rPr>
              <w:t>Тип участі у набутті домінуючого контрольного пакета акцій</w:t>
            </w:r>
          </w:p>
        </w:tc>
        <w:tc>
          <w:tcPr>
            <w:tcW w:w="2693" w:type="dxa"/>
            <w:gridSpan w:val="3"/>
          </w:tcPr>
          <w:p w:rsidR="00A14A40" w:rsidRPr="00A14A40" w:rsidRDefault="00A14A40">
            <w:pPr>
              <w:rPr>
                <w:sz w:val="18"/>
                <w:szCs w:val="18"/>
              </w:rPr>
            </w:pPr>
            <w:r w:rsidRPr="00A14A40">
              <w:rPr>
                <w:color w:val="000000"/>
                <w:sz w:val="18"/>
                <w:szCs w:val="18"/>
                <w:shd w:val="clear" w:color="auto" w:fill="FFFFFF"/>
              </w:rPr>
              <w:t>Участь особи в товаристві, %</w:t>
            </w:r>
          </w:p>
        </w:tc>
        <w:tc>
          <w:tcPr>
            <w:tcW w:w="2268" w:type="dxa"/>
            <w:vMerge w:val="restart"/>
          </w:tcPr>
          <w:p w:rsidR="00A14A40" w:rsidRPr="00A14A40" w:rsidRDefault="00A14A40">
            <w:pPr>
              <w:rPr>
                <w:sz w:val="18"/>
                <w:szCs w:val="18"/>
              </w:rPr>
            </w:pPr>
            <w:r w:rsidRPr="00A14A40">
              <w:rPr>
                <w:color w:val="000000"/>
                <w:sz w:val="18"/>
                <w:szCs w:val="18"/>
                <w:shd w:val="clear" w:color="auto" w:fill="FFFFFF"/>
              </w:rPr>
              <w:t xml:space="preserve">Кінцевий </w:t>
            </w:r>
            <w:proofErr w:type="spellStart"/>
            <w:r w:rsidRPr="00A14A40">
              <w:rPr>
                <w:color w:val="000000"/>
                <w:sz w:val="18"/>
                <w:szCs w:val="18"/>
                <w:shd w:val="clear" w:color="auto" w:fill="FFFFFF"/>
              </w:rPr>
              <w:t>бенефіціарний</w:t>
            </w:r>
            <w:proofErr w:type="spellEnd"/>
            <w:r w:rsidRPr="00A14A40">
              <w:rPr>
                <w:color w:val="000000"/>
                <w:sz w:val="18"/>
                <w:szCs w:val="18"/>
                <w:shd w:val="clear" w:color="auto" w:fill="FFFFFF"/>
              </w:rPr>
              <w:t xml:space="preserve"> власник (контролер) особи (для юридичних осіб)</w:t>
            </w:r>
          </w:p>
        </w:tc>
        <w:tc>
          <w:tcPr>
            <w:tcW w:w="1245" w:type="dxa"/>
            <w:vMerge w:val="restart"/>
          </w:tcPr>
          <w:p w:rsidR="00A14A40" w:rsidRPr="00A14A40" w:rsidRDefault="00A14A40">
            <w:pPr>
              <w:rPr>
                <w:sz w:val="16"/>
                <w:szCs w:val="16"/>
              </w:rPr>
            </w:pPr>
            <w:r w:rsidRPr="00A14A40">
              <w:rPr>
                <w:color w:val="000000"/>
                <w:sz w:val="16"/>
                <w:szCs w:val="16"/>
                <w:shd w:val="clear" w:color="auto" w:fill="FFFFFF"/>
              </w:rPr>
              <w:t>Кількість акцій товариства, що належали третім особам до набуття особою домінуючого контрольного пакета акцій товариства</w:t>
            </w:r>
          </w:p>
        </w:tc>
      </w:tr>
      <w:tr w:rsidR="00A14A40" w:rsidRPr="00A14A40" w:rsidTr="00854857">
        <w:trPr>
          <w:trHeight w:val="497"/>
        </w:trPr>
        <w:tc>
          <w:tcPr>
            <w:tcW w:w="392" w:type="dxa"/>
            <w:vMerge/>
          </w:tcPr>
          <w:p w:rsidR="00A14A40" w:rsidRPr="00A14A40" w:rsidRDefault="00A14A40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06" w:type="dxa"/>
            <w:vMerge/>
          </w:tcPr>
          <w:p w:rsidR="00A14A40" w:rsidRPr="00A14A40" w:rsidRDefault="00A14A40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79" w:type="dxa"/>
            <w:vMerge/>
          </w:tcPr>
          <w:p w:rsidR="00A14A40" w:rsidRPr="00A14A40" w:rsidRDefault="00A14A40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92" w:type="dxa"/>
            <w:vMerge/>
          </w:tcPr>
          <w:p w:rsidR="00A14A40" w:rsidRPr="00A14A40" w:rsidRDefault="00A14A40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A14A40" w:rsidRPr="00A14A40" w:rsidRDefault="00A14A40" w:rsidP="00A14A40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A14A40">
              <w:rPr>
                <w:color w:val="000000"/>
                <w:sz w:val="18"/>
                <w:szCs w:val="18"/>
              </w:rPr>
              <w:t>пряма</w:t>
            </w:r>
          </w:p>
        </w:tc>
        <w:tc>
          <w:tcPr>
            <w:tcW w:w="992" w:type="dxa"/>
          </w:tcPr>
          <w:p w:rsidR="00A14A40" w:rsidRPr="00A14A40" w:rsidRDefault="00A14A40" w:rsidP="00A14A40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A14A40">
              <w:rPr>
                <w:color w:val="000000"/>
                <w:sz w:val="16"/>
                <w:szCs w:val="16"/>
              </w:rPr>
              <w:t>опосередкована</w:t>
            </w:r>
          </w:p>
        </w:tc>
        <w:tc>
          <w:tcPr>
            <w:tcW w:w="709" w:type="dxa"/>
          </w:tcPr>
          <w:p w:rsidR="00A14A40" w:rsidRPr="00A14A40" w:rsidRDefault="00A14A40" w:rsidP="00A14A40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A14A40">
              <w:rPr>
                <w:color w:val="000000"/>
                <w:sz w:val="16"/>
                <w:szCs w:val="16"/>
              </w:rPr>
              <w:t>сукупна</w:t>
            </w:r>
          </w:p>
        </w:tc>
        <w:tc>
          <w:tcPr>
            <w:tcW w:w="2268" w:type="dxa"/>
            <w:vMerge/>
          </w:tcPr>
          <w:p w:rsidR="00A14A40" w:rsidRPr="00A14A40" w:rsidRDefault="00A14A40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45" w:type="dxa"/>
            <w:vMerge/>
          </w:tcPr>
          <w:p w:rsidR="00A14A40" w:rsidRPr="00A14A40" w:rsidRDefault="00A14A40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854857" w:rsidRPr="00A14A40" w:rsidTr="00854857">
        <w:trPr>
          <w:trHeight w:val="224"/>
        </w:trPr>
        <w:tc>
          <w:tcPr>
            <w:tcW w:w="392" w:type="dxa"/>
          </w:tcPr>
          <w:p w:rsidR="0036000D" w:rsidRPr="00A14A40" w:rsidRDefault="0036000D">
            <w:pPr>
              <w:rPr>
                <w:sz w:val="18"/>
                <w:szCs w:val="18"/>
              </w:rPr>
            </w:pPr>
            <w:r w:rsidRPr="00A14A40">
              <w:rPr>
                <w:sz w:val="18"/>
                <w:szCs w:val="18"/>
              </w:rPr>
              <w:t>1</w:t>
            </w:r>
          </w:p>
        </w:tc>
        <w:tc>
          <w:tcPr>
            <w:tcW w:w="1406" w:type="dxa"/>
          </w:tcPr>
          <w:p w:rsidR="0036000D" w:rsidRPr="00A14A40" w:rsidRDefault="0036000D">
            <w:pPr>
              <w:rPr>
                <w:sz w:val="18"/>
                <w:szCs w:val="18"/>
              </w:rPr>
            </w:pPr>
            <w:r w:rsidRPr="00A14A40">
              <w:rPr>
                <w:sz w:val="18"/>
                <w:szCs w:val="18"/>
              </w:rPr>
              <w:t>2</w:t>
            </w:r>
          </w:p>
        </w:tc>
        <w:tc>
          <w:tcPr>
            <w:tcW w:w="679" w:type="dxa"/>
          </w:tcPr>
          <w:p w:rsidR="0036000D" w:rsidRPr="00A14A40" w:rsidRDefault="0036000D">
            <w:pPr>
              <w:rPr>
                <w:sz w:val="18"/>
                <w:szCs w:val="18"/>
              </w:rPr>
            </w:pPr>
            <w:r w:rsidRPr="00A14A40">
              <w:rPr>
                <w:sz w:val="18"/>
                <w:szCs w:val="18"/>
              </w:rPr>
              <w:t>3</w:t>
            </w:r>
          </w:p>
        </w:tc>
        <w:tc>
          <w:tcPr>
            <w:tcW w:w="892" w:type="dxa"/>
          </w:tcPr>
          <w:p w:rsidR="0036000D" w:rsidRPr="00A14A40" w:rsidRDefault="0036000D">
            <w:pPr>
              <w:rPr>
                <w:sz w:val="18"/>
                <w:szCs w:val="18"/>
              </w:rPr>
            </w:pPr>
            <w:r w:rsidRPr="00A14A40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36000D" w:rsidRPr="00A14A40" w:rsidRDefault="0036000D" w:rsidP="00A14A40">
            <w:pPr>
              <w:rPr>
                <w:sz w:val="18"/>
                <w:szCs w:val="18"/>
              </w:rPr>
            </w:pPr>
            <w:r w:rsidRPr="00A14A40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36000D" w:rsidRPr="00A14A40" w:rsidRDefault="0036000D" w:rsidP="00A14A40">
            <w:pPr>
              <w:rPr>
                <w:sz w:val="18"/>
                <w:szCs w:val="18"/>
              </w:rPr>
            </w:pPr>
            <w:r w:rsidRPr="00A14A40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36000D" w:rsidRPr="00A14A40" w:rsidRDefault="0036000D" w:rsidP="00A14A40">
            <w:pPr>
              <w:rPr>
                <w:sz w:val="18"/>
                <w:szCs w:val="18"/>
              </w:rPr>
            </w:pPr>
            <w:r w:rsidRPr="00A14A40">
              <w:rPr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:rsidR="0036000D" w:rsidRPr="00A14A40" w:rsidRDefault="0036000D">
            <w:pPr>
              <w:rPr>
                <w:sz w:val="18"/>
                <w:szCs w:val="18"/>
              </w:rPr>
            </w:pPr>
            <w:r w:rsidRPr="00A14A40">
              <w:rPr>
                <w:sz w:val="18"/>
                <w:szCs w:val="18"/>
              </w:rPr>
              <w:t>8</w:t>
            </w:r>
          </w:p>
        </w:tc>
        <w:tc>
          <w:tcPr>
            <w:tcW w:w="1245" w:type="dxa"/>
          </w:tcPr>
          <w:p w:rsidR="0036000D" w:rsidRPr="00A14A40" w:rsidRDefault="0036000D">
            <w:pPr>
              <w:rPr>
                <w:sz w:val="18"/>
                <w:szCs w:val="18"/>
              </w:rPr>
            </w:pPr>
            <w:r w:rsidRPr="00A14A40">
              <w:rPr>
                <w:sz w:val="18"/>
                <w:szCs w:val="18"/>
              </w:rPr>
              <w:t>9</w:t>
            </w:r>
          </w:p>
        </w:tc>
      </w:tr>
      <w:tr w:rsidR="00854857" w:rsidRPr="00854857" w:rsidTr="00854857">
        <w:tc>
          <w:tcPr>
            <w:tcW w:w="392" w:type="dxa"/>
          </w:tcPr>
          <w:p w:rsidR="0036000D" w:rsidRPr="00854857" w:rsidRDefault="0036000D">
            <w:pPr>
              <w:rPr>
                <w:sz w:val="18"/>
                <w:szCs w:val="18"/>
              </w:rPr>
            </w:pPr>
            <w:r w:rsidRPr="00854857">
              <w:rPr>
                <w:sz w:val="18"/>
                <w:szCs w:val="18"/>
              </w:rPr>
              <w:t>1</w:t>
            </w:r>
          </w:p>
        </w:tc>
        <w:tc>
          <w:tcPr>
            <w:tcW w:w="1406" w:type="dxa"/>
          </w:tcPr>
          <w:p w:rsidR="0036000D" w:rsidRPr="00854857" w:rsidRDefault="0036000D">
            <w:pPr>
              <w:rPr>
                <w:sz w:val="18"/>
                <w:szCs w:val="18"/>
              </w:rPr>
            </w:pPr>
            <w:proofErr w:type="spellStart"/>
            <w:r w:rsidRPr="00854857">
              <w:rPr>
                <w:sz w:val="18"/>
                <w:szCs w:val="18"/>
              </w:rPr>
              <w:t>Ясеницька</w:t>
            </w:r>
            <w:proofErr w:type="spellEnd"/>
            <w:r w:rsidRPr="00854857">
              <w:rPr>
                <w:sz w:val="18"/>
                <w:szCs w:val="18"/>
              </w:rPr>
              <w:t xml:space="preserve"> Анастасія Йосипівна</w:t>
            </w:r>
          </w:p>
        </w:tc>
        <w:tc>
          <w:tcPr>
            <w:tcW w:w="679" w:type="dxa"/>
          </w:tcPr>
          <w:p w:rsidR="0036000D" w:rsidRPr="00854857" w:rsidRDefault="0036000D">
            <w:pPr>
              <w:rPr>
                <w:sz w:val="18"/>
                <w:szCs w:val="18"/>
              </w:rPr>
            </w:pPr>
            <w:r w:rsidRPr="00854857">
              <w:rPr>
                <w:sz w:val="18"/>
                <w:szCs w:val="18"/>
              </w:rPr>
              <w:t>ФО</w:t>
            </w:r>
          </w:p>
        </w:tc>
        <w:tc>
          <w:tcPr>
            <w:tcW w:w="892" w:type="dxa"/>
          </w:tcPr>
          <w:p w:rsidR="0036000D" w:rsidRPr="00854857" w:rsidRDefault="0036000D">
            <w:pPr>
              <w:rPr>
                <w:sz w:val="18"/>
                <w:szCs w:val="18"/>
              </w:rPr>
            </w:pPr>
            <w:r w:rsidRPr="00854857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36000D" w:rsidRPr="00854857" w:rsidRDefault="0036000D">
            <w:pPr>
              <w:pStyle w:val="rvps12"/>
              <w:spacing w:before="150" w:beforeAutospacing="0" w:after="150" w:afterAutospacing="0"/>
              <w:jc w:val="center"/>
              <w:rPr>
                <w:color w:val="000000"/>
                <w:sz w:val="18"/>
                <w:szCs w:val="18"/>
              </w:rPr>
            </w:pPr>
            <w:r w:rsidRPr="00854857">
              <w:rPr>
                <w:color w:val="000000"/>
                <w:sz w:val="18"/>
                <w:szCs w:val="18"/>
              </w:rPr>
              <w:t>96,8572%</w:t>
            </w:r>
          </w:p>
        </w:tc>
        <w:tc>
          <w:tcPr>
            <w:tcW w:w="992" w:type="dxa"/>
          </w:tcPr>
          <w:p w:rsidR="0036000D" w:rsidRPr="00854857" w:rsidRDefault="00A14A40">
            <w:pPr>
              <w:pStyle w:val="rvps12"/>
              <w:spacing w:before="150" w:beforeAutospacing="0" w:after="150" w:afterAutospacing="0"/>
              <w:jc w:val="center"/>
              <w:rPr>
                <w:color w:val="000000"/>
                <w:sz w:val="18"/>
                <w:szCs w:val="18"/>
              </w:rPr>
            </w:pPr>
            <w:r w:rsidRPr="0085485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36000D" w:rsidRPr="00854857" w:rsidRDefault="00A14A40">
            <w:pPr>
              <w:pStyle w:val="rvps12"/>
              <w:spacing w:before="150" w:beforeAutospacing="0" w:after="150" w:afterAutospacing="0"/>
              <w:jc w:val="center"/>
              <w:rPr>
                <w:color w:val="000000"/>
                <w:sz w:val="18"/>
                <w:szCs w:val="18"/>
              </w:rPr>
            </w:pPr>
            <w:r w:rsidRPr="0085485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:rsidR="0036000D" w:rsidRPr="00854857" w:rsidRDefault="00A14A40">
            <w:pPr>
              <w:rPr>
                <w:sz w:val="18"/>
                <w:szCs w:val="18"/>
              </w:rPr>
            </w:pPr>
            <w:proofErr w:type="spellStart"/>
            <w:r w:rsidRPr="00854857">
              <w:rPr>
                <w:sz w:val="18"/>
                <w:szCs w:val="18"/>
              </w:rPr>
              <w:t>Ясеницька</w:t>
            </w:r>
            <w:proofErr w:type="spellEnd"/>
            <w:r w:rsidRPr="00854857">
              <w:rPr>
                <w:sz w:val="18"/>
                <w:szCs w:val="18"/>
              </w:rPr>
              <w:t xml:space="preserve"> Анастасія Йосипівна, КВ 626481 від 16.03.2001р. Україна, Миколаївська обл., м. Вознесенськ, вул. </w:t>
            </w:r>
            <w:proofErr w:type="spellStart"/>
            <w:r w:rsidRPr="00854857">
              <w:rPr>
                <w:sz w:val="18"/>
                <w:szCs w:val="18"/>
              </w:rPr>
              <w:t>Святомиколаївська</w:t>
            </w:r>
            <w:proofErr w:type="spellEnd"/>
            <w:r w:rsidRPr="00854857">
              <w:rPr>
                <w:sz w:val="18"/>
                <w:szCs w:val="18"/>
              </w:rPr>
              <w:t xml:space="preserve">, 12 </w:t>
            </w:r>
          </w:p>
        </w:tc>
        <w:tc>
          <w:tcPr>
            <w:tcW w:w="1245" w:type="dxa"/>
          </w:tcPr>
          <w:p w:rsidR="0036000D" w:rsidRPr="00854857" w:rsidRDefault="00A14A40">
            <w:pPr>
              <w:rPr>
                <w:sz w:val="18"/>
                <w:szCs w:val="18"/>
              </w:rPr>
            </w:pPr>
            <w:r w:rsidRPr="00854857">
              <w:rPr>
                <w:sz w:val="18"/>
                <w:szCs w:val="18"/>
              </w:rPr>
              <w:t>0</w:t>
            </w:r>
          </w:p>
        </w:tc>
      </w:tr>
    </w:tbl>
    <w:p w:rsidR="0036000D" w:rsidRDefault="0036000D"/>
    <w:p w:rsidR="00FF20D0" w:rsidRDefault="00FF20D0" w:rsidP="003317BB">
      <w:pPr>
        <w:pStyle w:val="a4"/>
        <w:numPr>
          <w:ilvl w:val="0"/>
          <w:numId w:val="1"/>
        </w:numPr>
        <w:jc w:val="both"/>
      </w:pPr>
      <w:r>
        <w:t>ціна</w:t>
      </w:r>
      <w:r w:rsidR="00854857">
        <w:t>, передбачена</w:t>
      </w:r>
      <w:r w:rsidRPr="00FF20D0">
        <w:t xml:space="preserve"> пунктами 1 та 2 частини п’ятої статті</w:t>
      </w:r>
      <w:r>
        <w:t xml:space="preserve"> 65-2 – </w:t>
      </w:r>
      <w:r w:rsidR="003317BB" w:rsidRPr="00854857">
        <w:rPr>
          <w:b/>
        </w:rPr>
        <w:t>0,04 копійок.</w:t>
      </w:r>
    </w:p>
    <w:p w:rsidR="00FF20D0" w:rsidRDefault="00FF20D0" w:rsidP="003317BB">
      <w:pPr>
        <w:pStyle w:val="a4"/>
        <w:numPr>
          <w:ilvl w:val="0"/>
          <w:numId w:val="1"/>
        </w:numPr>
        <w:jc w:val="both"/>
      </w:pPr>
      <w:r w:rsidRPr="00FF20D0">
        <w:t>дату набуття домінуючого контрольного пакета акцій товариства</w:t>
      </w:r>
      <w:r w:rsidR="00325041" w:rsidRPr="00325041">
        <w:rPr>
          <w:lang w:val="ru-RU"/>
        </w:rPr>
        <w:t xml:space="preserve"> </w:t>
      </w:r>
      <w:r w:rsidR="00854857">
        <w:rPr>
          <w:lang w:val="ru-RU"/>
        </w:rPr>
        <w:t xml:space="preserve">- </w:t>
      </w:r>
      <w:r w:rsidR="00325041" w:rsidRPr="00854857">
        <w:rPr>
          <w:b/>
          <w:lang w:val="ru-RU"/>
        </w:rPr>
        <w:t>11.05.2019р.</w:t>
      </w:r>
      <w:r w:rsidRPr="00854857">
        <w:rPr>
          <w:b/>
        </w:rPr>
        <w:t>;</w:t>
      </w:r>
    </w:p>
    <w:p w:rsidR="00FF20D0" w:rsidRPr="00854857" w:rsidRDefault="003317BB" w:rsidP="003317BB">
      <w:pPr>
        <w:pStyle w:val="a4"/>
        <w:numPr>
          <w:ilvl w:val="0"/>
          <w:numId w:val="1"/>
        </w:numPr>
        <w:jc w:val="both"/>
      </w:pPr>
      <w:r w:rsidRPr="003317BB">
        <w:t> депозитарну установу, в якій відкрито рахунок у цінних паперах заявника вимоги та реквізити рахунку у цінних паперах цієї особи в обсязі, встановленому Національною комісією з ці</w:t>
      </w:r>
      <w:r>
        <w:t xml:space="preserve">нних паперів та фондового ринку – </w:t>
      </w:r>
      <w:r w:rsidRPr="00854857">
        <w:rPr>
          <w:b/>
        </w:rPr>
        <w:t xml:space="preserve">Публічне акціонерне товариство МТБ БАНК» Код 21650966,Пр. Миру, 28 м. </w:t>
      </w:r>
      <w:proofErr w:type="spellStart"/>
      <w:r w:rsidRPr="00854857">
        <w:rPr>
          <w:b/>
        </w:rPr>
        <w:t>Чорноморськ</w:t>
      </w:r>
      <w:proofErr w:type="spellEnd"/>
      <w:r w:rsidRPr="00854857">
        <w:rPr>
          <w:b/>
        </w:rPr>
        <w:t xml:space="preserve">, Одеська область, 68003 Ліцензія АЕ 263314 від 17.09.2013р. Депозитарний код рахунку </w:t>
      </w:r>
      <w:r w:rsidRPr="00854857">
        <w:rPr>
          <w:b/>
          <w:lang w:val="ru-RU"/>
        </w:rPr>
        <w:t xml:space="preserve"> </w:t>
      </w:r>
      <w:proofErr w:type="spellStart"/>
      <w:r w:rsidRPr="00854857">
        <w:rPr>
          <w:b/>
        </w:rPr>
        <w:t>Ясеницької</w:t>
      </w:r>
      <w:proofErr w:type="spellEnd"/>
      <w:r w:rsidRPr="00854857">
        <w:rPr>
          <w:b/>
        </w:rPr>
        <w:t xml:space="preserve"> А. Й. - 300327-</w:t>
      </w:r>
      <w:r w:rsidRPr="00854857">
        <w:rPr>
          <w:b/>
          <w:lang w:val="en-US"/>
        </w:rPr>
        <w:t>UA</w:t>
      </w:r>
      <w:r w:rsidRPr="00854857">
        <w:rPr>
          <w:b/>
          <w:lang w:val="ru-RU"/>
        </w:rPr>
        <w:t>10002648.</w:t>
      </w:r>
    </w:p>
    <w:p w:rsidR="00854857" w:rsidRPr="003317BB" w:rsidRDefault="00854857" w:rsidP="00854857">
      <w:pPr>
        <w:ind w:left="360"/>
        <w:jc w:val="both"/>
      </w:pPr>
    </w:p>
    <w:p w:rsidR="003317BB" w:rsidRDefault="00854857" w:rsidP="003317BB">
      <w:pPr>
        <w:jc w:val="both"/>
      </w:pPr>
      <w:proofErr w:type="spellStart"/>
      <w:r>
        <w:t>Ясеницька</w:t>
      </w:r>
      <w:proofErr w:type="spellEnd"/>
      <w:r>
        <w:t xml:space="preserve"> А. Й.</w:t>
      </w:r>
    </w:p>
    <w:p w:rsidR="003317BB" w:rsidRDefault="003317BB" w:rsidP="003317BB">
      <w:pPr>
        <w:jc w:val="both"/>
      </w:pPr>
      <w:r>
        <w:t>13.05.2019 рік.</w:t>
      </w:r>
    </w:p>
    <w:sectPr w:rsidR="003317BB" w:rsidSect="003317B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47B88"/>
    <w:multiLevelType w:val="hybridMultilevel"/>
    <w:tmpl w:val="AFE68F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00D"/>
    <w:rsid w:val="00245720"/>
    <w:rsid w:val="00325041"/>
    <w:rsid w:val="003317BB"/>
    <w:rsid w:val="0036000D"/>
    <w:rsid w:val="00854857"/>
    <w:rsid w:val="00A14A40"/>
    <w:rsid w:val="00DA7CA0"/>
    <w:rsid w:val="00FF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12">
    <w:name w:val="rvps12"/>
    <w:basedOn w:val="a"/>
    <w:rsid w:val="00360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FF20D0"/>
    <w:pPr>
      <w:ind w:left="720"/>
      <w:contextualSpacing/>
    </w:pPr>
  </w:style>
  <w:style w:type="paragraph" w:styleId="a5">
    <w:name w:val="No Spacing"/>
    <w:uiPriority w:val="1"/>
    <w:qFormat/>
    <w:rsid w:val="00854857"/>
    <w:pPr>
      <w:spacing w:after="0" w:line="240" w:lineRule="auto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12">
    <w:name w:val="rvps12"/>
    <w:basedOn w:val="a"/>
    <w:rsid w:val="00360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FF20D0"/>
    <w:pPr>
      <w:ind w:left="720"/>
      <w:contextualSpacing/>
    </w:pPr>
  </w:style>
  <w:style w:type="paragraph" w:styleId="a5">
    <w:name w:val="No Spacing"/>
    <w:uiPriority w:val="1"/>
    <w:qFormat/>
    <w:rsid w:val="00854857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1228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2019-05-13T14:52:00Z</dcterms:created>
  <dcterms:modified xsi:type="dcterms:W3CDTF">2019-05-13T14:52:00Z</dcterms:modified>
</cp:coreProperties>
</file>